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6037463</wp:posOffset>
            </wp:positionH>
            <wp:positionV relativeFrom="page">
              <wp:posOffset>152400</wp:posOffset>
            </wp:positionV>
            <wp:extent cx="1196665" cy="481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6665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Le meilleur dîner du monde entier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Selon toi, quel est le meilleur diner du monde entier ? Consulter 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Le guide alimentaire canadien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et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Phrases utiles #3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pour choisir des aliments sains ET délicieux. Noter tes choix dans le tableau suivant et indiquer ton raisonnement :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Aliments choisis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Pourquoi ? Parce que …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  <w:t xml:space="preserve">Nom 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guide-alimentaire.canada.ca/fr/" TargetMode="External"/><Relationship Id="rId8" Type="http://schemas.openxmlformats.org/officeDocument/2006/relationships/hyperlink" Target="https://k12studio.ca/resource/phrases-utiles-3-est-en-forme/735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