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La compétence de médiation en action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chercheurs ont intégré un cours crédité, comprenant des échanges virtuels entre des étudiants en France et des étudiants au Canada, au sein d’un programme d’études françaises d’une université canadienne. Ce cours portait sur la découverte des systèmes éducatifs de part et d’autre de l’océan. Les chercheurs, en partenariat avec deux professeurs en France, ont développé une série d’activités sur cette thématique qui ont poussé les étudiants à discuter en petits groupes, à effectuer de mini-projets collaboratifs, et à réfléchir ensemble sur l’expérience. Notre objectif pédagogique était le développement de “la compétence plurilingue et pluriculturelle” (Piccardo et Capron Puozzo, 2015 ; CECRL, 2001, 2021) de nos étudiants. Notre étude a cherché à documenter l’expérience vécue de nos participants dans la réalisation de cet objectif.  Cette communication expose la mise en place de notre cours et des activités, le déploiement de notre étude et la méthode adoptée et l’analyse de nos résultats en rapport avec notre objectif pédagogique. Les résultats révèlent un vrai potentiel des échanges virtuels pour favoriser la pratique de la compétence de médiation (Piccardo, 2012; Conseil de l’Europe, 2021), l’enfant pauvre des cours universitaires de langue étrangère.</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Muriel Péguret affiliée au Collège universitaire Glendon à l’Université York </w:t>
      </w:r>
      <w:hyperlink r:id="rId6">
        <w:r w:rsidDel="00000000" w:rsidR="00000000" w:rsidRPr="00000000">
          <w:rPr>
            <w:rFonts w:ascii="Times New Roman" w:cs="Times New Roman" w:eastAsia="Times New Roman" w:hAnsi="Times New Roman"/>
            <w:color w:val="1155cc"/>
            <w:sz w:val="24"/>
            <w:szCs w:val="24"/>
            <w:u w:val="single"/>
            <w:rtl w:val="0"/>
          </w:rPr>
          <w:t xml:space="preserve">mpeguret@yorku.ca</w:t>
        </w:r>
      </w:hyperlink>
      <w:r w:rsidDel="00000000" w:rsidR="00000000" w:rsidRPr="00000000">
        <w:rPr>
          <w:rtl w:val="0"/>
        </w:rPr>
      </w:r>
    </w:p>
    <w:p w:rsidR="00000000" w:rsidDel="00000000" w:rsidP="00000000" w:rsidRDefault="00000000" w:rsidRPr="00000000" w14:paraId="00000006">
      <w:pPr>
        <w:shd w:fill="ffffff" w:val="clear"/>
        <w:spacing w:before="1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Campus Glendon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Glendon Campus YORK UNIVERSITY York Hall C-136  2275 Bayview Avenue Toronto ON, Canada M4N 3M6 </w:t>
      </w:r>
    </w:p>
    <w:p w:rsidR="00000000" w:rsidDel="00000000" w:rsidP="00000000" w:rsidRDefault="00000000" w:rsidRPr="00000000" w14:paraId="00000007">
      <w:pPr>
        <w:shd w:fill="ffffff" w:val="clear"/>
        <w:spacing w:before="1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+1 647 248 0577</w:t>
      </w:r>
    </w:p>
    <w:p w:rsidR="00000000" w:rsidDel="00000000" w:rsidP="00000000" w:rsidRDefault="00000000" w:rsidRPr="00000000" w14:paraId="0000000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Bibliographie</w:t>
      </w:r>
    </w:p>
    <w:p w:rsidR="00000000" w:rsidDel="00000000" w:rsidP="00000000" w:rsidRDefault="00000000" w:rsidRPr="00000000" w14:paraId="00000009">
      <w:pPr>
        <w:pBdr>
          <w:top w:color="d9d9e3" w:space="0" w:sz="0" w:val="none"/>
          <w:left w:color="d9d9e3" w:space="0" w:sz="0" w:val="none"/>
          <w:bottom w:color="d9d9e3" w:space="0" w:sz="0" w:val="none"/>
          <w:right w:color="d9d9e3" w:space="0" w:sz="0" w:val="none"/>
          <w:between w:color="d9d9e3" w:space="0" w:sz="0" w:val="none"/>
        </w:pBdr>
        <w:spacing w:after="300" w:before="30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Conseil de l’Europe. (2001). </w:t>
      </w:r>
      <w:r w:rsidDel="00000000" w:rsidR="00000000" w:rsidRPr="00000000">
        <w:rPr>
          <w:rFonts w:ascii="Times New Roman" w:cs="Times New Roman" w:eastAsia="Times New Roman" w:hAnsi="Times New Roman"/>
          <w:i w:val="1"/>
          <w:iCs w:val="1"/>
          <w:sz w:val="24"/>
          <w:szCs w:val="24"/>
          <w:rtl w:val="0"/>
        </w:rPr>
        <w:t xml:space="preserve">Cadre européen commun de référence pour les langues : enseigner, apprendre, évaluer.  </w:t>
      </w:r>
      <w:r w:rsidDel="00000000" w:rsidR="00000000" w:rsidRPr="00000000">
        <w:rPr>
          <w:rFonts w:ascii="Times New Roman" w:cs="Times New Roman" w:eastAsia="Times New Roman" w:hAnsi="Times New Roman"/>
          <w:sz w:val="24"/>
          <w:szCs w:val="24"/>
          <w:rtl w:val="0"/>
        </w:rPr>
        <w:t xml:space="preserve">Éditions du Conseil de l'Europe, Strasbourg.</w:t>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pacing w:after="300" w:before="30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Conseil de l’Europe. (2021). </w:t>
      </w:r>
      <w:r w:rsidDel="00000000" w:rsidR="00000000" w:rsidRPr="00000000">
        <w:rPr>
          <w:rFonts w:ascii="Times New Roman" w:cs="Times New Roman" w:eastAsia="Times New Roman" w:hAnsi="Times New Roman"/>
          <w:i w:val="1"/>
          <w:iCs w:val="1"/>
          <w:sz w:val="24"/>
          <w:szCs w:val="24"/>
          <w:rtl w:val="0"/>
        </w:rPr>
        <w:t xml:space="preserve">Cadre européen commun de référence pour les langues : enseigner, apprendre, évaluer. Volume complémentaire avec de nouveaux descripteurs</w:t>
      </w:r>
      <w:r w:rsidDel="00000000" w:rsidR="00000000" w:rsidRPr="00000000">
        <w:rPr>
          <w:rFonts w:ascii="Times New Roman" w:cs="Times New Roman" w:eastAsia="Times New Roman" w:hAnsi="Times New Roman"/>
          <w:sz w:val="24"/>
          <w:szCs w:val="24"/>
          <w:rtl w:val="0"/>
        </w:rPr>
        <w:t xml:space="preserve">. Éditions du Conseil de l'Europe, Strasbourg.</w:t>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pacing w:line="24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Piccardo, E. (2012). Médiation et apprentissage des langues : pourquoi est-il temps de réfléchir à cette notion ? </w:t>
      </w:r>
      <w:r w:rsidDel="00000000" w:rsidR="00000000" w:rsidRPr="00000000">
        <w:rPr>
          <w:rFonts w:ascii="Times New Roman" w:cs="Times New Roman" w:eastAsia="Times New Roman" w:hAnsi="Times New Roman"/>
          <w:i w:val="1"/>
          <w:iCs w:val="1"/>
          <w:sz w:val="24"/>
          <w:szCs w:val="24"/>
          <w:rtl w:val="0"/>
        </w:rPr>
        <w:t xml:space="preserve">Éla. Études de linguistique appliquée,</w:t>
      </w:r>
      <w:r w:rsidDel="00000000" w:rsidR="00000000" w:rsidRPr="00000000">
        <w:rPr>
          <w:rFonts w:ascii="Times New Roman" w:cs="Times New Roman" w:eastAsia="Times New Roman" w:hAnsi="Times New Roman"/>
          <w:sz w:val="24"/>
          <w:szCs w:val="24"/>
          <w:rtl w:val="0"/>
        </w:rPr>
        <w:t xml:space="preserve"> 167, 285-297.</w:t>
      </w:r>
      <w:hyperlink r:id="rId7">
        <w:r w:rsidDel="00000000" w:rsidR="00000000" w:rsidRPr="00000000">
          <w:rPr>
            <w:rFonts w:ascii="Times New Roman" w:cs="Times New Roman" w:eastAsia="Times New Roman" w:hAnsi="Times New Roman"/>
            <w:sz w:val="24"/>
            <w:szCs w:val="24"/>
            <w:rtl w:val="0"/>
          </w:rPr>
          <w:t xml:space="preserve"> https://doi.org/10.3917/ela.167.0285</w:t>
        </w:r>
      </w:hyperlink>
      <w:r w:rsidDel="00000000" w:rsidR="00000000" w:rsidRPr="00000000">
        <w:rPr>
          <w:rtl w:val="0"/>
        </w:rPr>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pacing w:after="240" w:before="24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Piccardo, E. &amp; Capron Puozzo, I. (2015). Introduction. </w:t>
      </w:r>
      <w:r w:rsidDel="00000000" w:rsidR="00000000" w:rsidRPr="00000000">
        <w:rPr>
          <w:rFonts w:ascii="Times New Roman" w:cs="Times New Roman" w:eastAsia="Times New Roman" w:hAnsi="Times New Roman"/>
          <w:i w:val="1"/>
          <w:iCs w:val="1"/>
          <w:sz w:val="24"/>
          <w:szCs w:val="24"/>
          <w:rtl w:val="0"/>
        </w:rPr>
        <w:t xml:space="preserve">The Canadian Modern Language Review / La revue canadienne des langues vivantes, 71</w:t>
      </w:r>
      <w:r w:rsidDel="00000000" w:rsidR="00000000" w:rsidRPr="00000000">
        <w:rPr>
          <w:rFonts w:ascii="Times New Roman" w:cs="Times New Roman" w:eastAsia="Times New Roman" w:hAnsi="Times New Roman"/>
          <w:sz w:val="24"/>
          <w:szCs w:val="24"/>
          <w:rtl w:val="0"/>
        </w:rPr>
        <w:t xml:space="preserve">(4), 324-330.</w:t>
      </w:r>
      <w:r w:rsidDel="00000000" w:rsidR="00000000" w:rsidRPr="00000000">
        <w:br w:type="page"/>
      </w:r>
      <w:r w:rsidDel="00000000" w:rsidR="00000000" w:rsidRPr="00000000">
        <w:rPr>
          <w:rtl w:val="0"/>
        </w:rPr>
      </w:r>
    </w:p>
    <w:p w:rsidR="00000000" w:rsidDel="00000000" w:rsidP="00000000" w:rsidRDefault="00000000" w:rsidRPr="00000000" w14:paraId="0000000D">
      <w:pPr>
        <w:pBdr>
          <w:top w:color="d9d9e3" w:space="0" w:sz="0" w:val="none"/>
          <w:left w:color="d9d9e3" w:space="0" w:sz="0" w:val="none"/>
          <w:bottom w:color="d9d9e3" w:space="0" w:sz="0" w:val="none"/>
          <w:right w:color="d9d9e3" w:space="0" w:sz="0" w:val="none"/>
          <w:between w:color="d9d9e3" w:space="0" w:sz="0" w:val="none"/>
        </w:pBdr>
        <w:spacing w:after="240" w:before="24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Descriptif 600 caractères</w:t>
      </w:r>
    </w:p>
    <w:p w:rsidR="00000000" w:rsidDel="00000000" w:rsidP="00000000" w:rsidRDefault="00000000" w:rsidRPr="00000000" w14:paraId="0000000E">
      <w:pPr>
        <w:pBdr>
          <w:top w:color="d9d9e3" w:space="0" w:sz="0" w:val="none"/>
          <w:left w:color="d9d9e3" w:space="0" w:sz="0" w:val="none"/>
          <w:bottom w:color="d9d9e3" w:space="0" w:sz="0" w:val="none"/>
          <w:right w:color="d9d9e3" w:space="0" w:sz="0" w:val="none"/>
          <w:between w:color="d9d9e3" w:space="0" w:sz="0" w:val="none"/>
        </w:pBdr>
        <w:spacing w:after="240" w:before="24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Bdr>
          <w:top w:color="d9d9e3" w:space="0" w:sz="0" w:val="none"/>
          <w:left w:color="d9d9e3" w:space="0" w:sz="0" w:val="none"/>
          <w:bottom w:color="d9d9e3" w:space="0" w:sz="0" w:val="none"/>
          <w:right w:color="d9d9e3" w:space="0" w:sz="0" w:val="none"/>
          <w:between w:color="d9d9e3" w:space="0" w:sz="0" w:val="none"/>
        </w:pBdr>
        <w:spacing w:after="240" w:before="24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chercheurs ont intégré un cours crédité, comprenant des échanges virtuels entre des étudiants en France et des étudiants au Canada, au sein d’un programme d’études françaises d’une université canadienne. Cette communication expose la mise en place de notre cours, le déploiement de notre étude et la méthode adoptée et l’analyse des données. Les résultats révèlent le potentiel des échanges virtuels pour favoriser la pratique de la compétence de médiation (Conseil de l’Europe, 2021), l’enfant pauvre des cours universitaires de langue étrangère.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peguret@yorku.ca" TargetMode="External"/><Relationship Id="rId7" Type="http://schemas.openxmlformats.org/officeDocument/2006/relationships/hyperlink" Target="https://doi.org/10.3917/ela.167.0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